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Ind w:w="-764" w:type="dxa"/>
        <w:tblCellMar>
          <w:top w:w="0" w:type="dxa"/>
          <w:left w:w="765" w:type="dxa"/>
          <w:bottom w:w="0" w:type="dxa"/>
          <w:right w:w="699" w:type="dxa"/>
        </w:tblCellMar>
        <w:tblLook w:val="04A0" w:firstRow="1" w:lastRow="0" w:firstColumn="1" w:lastColumn="0" w:noHBand="0" w:noVBand="1"/>
      </w:tblPr>
      <w:tblGrid>
        <w:gridCol w:w="10875"/>
      </w:tblGrid>
      <w:tr w:rsidR="006541D5" w:rsidTr="5C29F7E6" w14:paraId="54061283" w14:textId="77777777">
        <w:trPr>
          <w:trHeight w:val="14460"/>
        </w:trPr>
        <w:tc>
          <w:tcPr>
            <w:tcW w:w="10875" w:type="dxa"/>
            <w:tcBorders>
              <w:top w:val="double" w:color="000000" w:themeColor="text1" w:sz="8" w:space="0"/>
              <w:left w:val="double" w:color="000000" w:themeColor="text1" w:sz="8" w:space="0"/>
              <w:bottom w:val="double" w:color="000000" w:themeColor="text1" w:sz="8" w:space="0"/>
              <w:right w:val="double" w:color="000000" w:themeColor="text1" w:sz="8" w:space="0"/>
            </w:tcBorders>
            <w:tcMar/>
          </w:tcPr>
          <w:p w:rsidR="006541D5" w:rsidP="00C71200" w:rsidRDefault="006541D5" w14:paraId="33DADEC2" w14:textId="77777777">
            <w:pPr>
              <w:ind w:left="62"/>
              <w:jc w:val="center"/>
            </w:pPr>
            <w:r>
              <w:rPr>
                <w:b/>
                <w:sz w:val="28"/>
              </w:rPr>
              <w:t xml:space="preserve"> </w:t>
            </w:r>
            <w:r>
              <w:rPr>
                <w:b/>
              </w:rPr>
              <w:t xml:space="preserve"> </w:t>
            </w:r>
          </w:p>
          <w:p w:rsidRPr="006541D5" w:rsidR="006541D5" w:rsidP="00C71200" w:rsidRDefault="006541D5" w14:paraId="6EA09802" w14:textId="77777777">
            <w:pPr>
              <w:spacing w:after="78"/>
              <w:ind w:right="49"/>
              <w:jc w:val="center"/>
              <w:rPr>
                <w:sz w:val="24"/>
              </w:rPr>
            </w:pPr>
            <w:r w:rsidRPr="006541D5">
              <w:rPr>
                <w:rFonts w:ascii="Arial" w:hAnsi="Arial" w:eastAsia="Arial" w:cs="Arial"/>
                <w:b/>
                <w:sz w:val="24"/>
              </w:rPr>
              <w:t>IMPORTANT INFORMATION ABOUT YOUR DRINKING WATER</w:t>
            </w:r>
          </w:p>
          <w:p w:rsidRPr="006541D5" w:rsidR="006541D5" w:rsidP="00C71200" w:rsidRDefault="006541D5" w14:paraId="21F47545" w14:textId="77777777">
            <w:pPr>
              <w:ind w:left="22"/>
              <w:jc w:val="center"/>
              <w:rPr>
                <w:sz w:val="24"/>
              </w:rPr>
            </w:pPr>
            <w:r w:rsidRPr="006541D5">
              <w:rPr>
                <w:b/>
                <w:sz w:val="24"/>
              </w:rPr>
              <w:t>Lordsburg Water Supply System Has Levels of Fluoride Above Drinking</w:t>
            </w:r>
          </w:p>
          <w:p w:rsidRPr="005E4E26" w:rsidR="006541D5" w:rsidP="00C71200" w:rsidRDefault="006541D5" w14:paraId="3A43AB50" w14:textId="77777777">
            <w:pPr>
              <w:ind w:right="53"/>
              <w:jc w:val="center"/>
              <w:rPr>
                <w:sz w:val="28"/>
                <w:szCs w:val="28"/>
                <w:lang w:val="es-ES"/>
              </w:rPr>
            </w:pPr>
            <w:proofErr w:type="spellStart"/>
            <w:r w:rsidRPr="006541D5">
              <w:rPr>
                <w:b/>
                <w:sz w:val="24"/>
                <w:lang w:val="es-ES"/>
              </w:rPr>
              <w:t>Water</w:t>
            </w:r>
            <w:proofErr w:type="spellEnd"/>
            <w:r w:rsidRPr="006541D5">
              <w:rPr>
                <w:b/>
                <w:sz w:val="24"/>
                <w:lang w:val="es-ES"/>
              </w:rPr>
              <w:t xml:space="preserve"> </w:t>
            </w:r>
            <w:proofErr w:type="spellStart"/>
            <w:r w:rsidRPr="006541D5">
              <w:rPr>
                <w:b/>
                <w:sz w:val="24"/>
                <w:lang w:val="es-ES"/>
              </w:rPr>
              <w:t>Standards</w:t>
            </w:r>
            <w:proofErr w:type="spellEnd"/>
          </w:p>
          <w:p w:rsidRPr="006617CB" w:rsidR="006541D5" w:rsidP="00C71200" w:rsidRDefault="006541D5" w14:paraId="510FEE55" w14:textId="77777777">
            <w:pPr>
              <w:rPr>
                <w:lang w:val="es-ES"/>
              </w:rPr>
            </w:pPr>
            <w:r w:rsidRPr="006617CB">
              <w:rPr>
                <w:lang w:val="es-ES"/>
              </w:rPr>
              <w:t xml:space="preserve"> </w:t>
            </w:r>
          </w:p>
          <w:p w:rsidRPr="006617CB" w:rsidR="006541D5" w:rsidP="00C71200" w:rsidRDefault="006541D5" w14:paraId="6B371DA6" w14:textId="77777777">
            <w:pPr>
              <w:spacing w:line="239" w:lineRule="auto"/>
              <w:jc w:val="both"/>
              <w:rPr>
                <w:lang w:val="es-ES"/>
              </w:rPr>
            </w:pPr>
            <w:r w:rsidRPr="006617CB">
              <w:rPr>
                <w:b/>
                <w:i/>
                <w:lang w:val="es-ES"/>
              </w:rPr>
              <w:t xml:space="preserve">Este informe contiene información importante acerca de su agua potable. Haga que alguien lo traduzca para usted, o hable con alguien que lo entienda. </w:t>
            </w:r>
          </w:p>
          <w:p w:rsidRPr="006617CB" w:rsidR="006541D5" w:rsidP="00C71200" w:rsidRDefault="006541D5" w14:paraId="3C79634A" w14:textId="77777777">
            <w:pPr>
              <w:rPr>
                <w:lang w:val="es-ES"/>
              </w:rPr>
            </w:pPr>
            <w:r w:rsidRPr="006617CB">
              <w:rPr>
                <w:lang w:val="es-ES"/>
              </w:rPr>
              <w:t xml:space="preserve"> </w:t>
            </w:r>
          </w:p>
          <w:p w:rsidRPr="005E4E26" w:rsidR="006541D5" w:rsidP="00C71200" w:rsidRDefault="006541D5" w14:paraId="17E2DCA3" w14:textId="77777777">
            <w:pPr>
              <w:spacing w:line="239" w:lineRule="auto"/>
              <w:ind w:right="49"/>
              <w:jc w:val="both"/>
              <w:rPr>
                <w:sz w:val="20"/>
                <w:szCs w:val="20"/>
              </w:rPr>
            </w:pPr>
            <w:r w:rsidRPr="005E4E26">
              <w:rPr>
                <w:sz w:val="20"/>
                <w:szCs w:val="20"/>
              </w:rPr>
              <w:t xml:space="preserve">Our water system recently violated a drinking water standard. Although this is not an emergency, as our customers, you have a right to know what happened, what you should do, and what we are doing to correct this situation.  </w:t>
            </w:r>
          </w:p>
          <w:p w:rsidRPr="005E4E26" w:rsidR="006541D5" w:rsidP="00C71200" w:rsidRDefault="006541D5" w14:paraId="75370904" w14:textId="77777777">
            <w:pPr>
              <w:rPr>
                <w:sz w:val="20"/>
                <w:szCs w:val="20"/>
              </w:rPr>
            </w:pPr>
            <w:r w:rsidRPr="005E4E26">
              <w:rPr>
                <w:sz w:val="20"/>
                <w:szCs w:val="20"/>
              </w:rPr>
              <w:t xml:space="preserve"> </w:t>
            </w:r>
          </w:p>
          <w:p w:rsidRPr="005E4E26" w:rsidR="006541D5" w:rsidP="00C71200" w:rsidRDefault="006541D5" w14:paraId="5B61DA4F" w14:textId="77777777">
            <w:pPr>
              <w:ind w:right="48"/>
              <w:jc w:val="both"/>
              <w:rPr>
                <w:sz w:val="20"/>
                <w:szCs w:val="20"/>
              </w:rPr>
            </w:pPr>
            <w:r w:rsidRPr="005E4E26">
              <w:rPr>
                <w:sz w:val="20"/>
                <w:szCs w:val="20"/>
              </w:rPr>
              <w:t xml:space="preserve">We routinely monitor for the presence of drinking water contaminants. Testing results show that our system exceeds the standard, or maximum contaminant level (MCL), for fluoride. The MCL for fluoride is 4.0 mg/L and is determined by a running annual average (RAA). The average level of fluoride in samples taken during the last year is shown in the table below. </w:t>
            </w:r>
          </w:p>
          <w:tbl>
            <w:tblPr>
              <w:tblStyle w:val="TableGrid"/>
              <w:tblW w:w="7759" w:type="dxa"/>
              <w:tblInd w:w="802" w:type="dxa"/>
              <w:tblCellMar>
                <w:top w:w="41" w:type="dxa"/>
                <w:left w:w="96" w:type="dxa"/>
                <w:bottom w:w="0" w:type="dxa"/>
                <w:right w:w="115" w:type="dxa"/>
              </w:tblCellMar>
              <w:tblLook w:val="04A0" w:firstRow="1" w:lastRow="0" w:firstColumn="1" w:lastColumn="0" w:noHBand="0" w:noVBand="1"/>
            </w:tblPr>
            <w:tblGrid>
              <w:gridCol w:w="3254"/>
              <w:gridCol w:w="2307"/>
              <w:gridCol w:w="2198"/>
            </w:tblGrid>
            <w:tr w:rsidR="006541D5" w:rsidTr="00C71200" w14:paraId="07AC32A9" w14:textId="77777777">
              <w:trPr>
                <w:trHeight w:val="328"/>
              </w:trPr>
              <w:tc>
                <w:tcPr>
                  <w:tcW w:w="3254" w:type="dxa"/>
                  <w:tcBorders>
                    <w:top w:val="single" w:color="000000" w:sz="3" w:space="0"/>
                    <w:left w:val="single" w:color="000000" w:sz="3" w:space="0"/>
                    <w:bottom w:val="single" w:color="000000" w:sz="3" w:space="0"/>
                    <w:right w:val="single" w:color="000000" w:sz="3" w:space="0"/>
                  </w:tcBorders>
                </w:tcPr>
                <w:p w:rsidR="006541D5" w:rsidP="00C71200" w:rsidRDefault="006541D5" w14:paraId="5400EC47" w14:textId="77777777">
                  <w:r>
                    <w:rPr>
                      <w:b/>
                      <w:sz w:val="20"/>
                    </w:rPr>
                    <w:t xml:space="preserve">Sample Location </w:t>
                  </w:r>
                </w:p>
              </w:tc>
              <w:tc>
                <w:tcPr>
                  <w:tcW w:w="2307" w:type="dxa"/>
                  <w:tcBorders>
                    <w:top w:val="single" w:color="000000" w:sz="3" w:space="0"/>
                    <w:left w:val="single" w:color="000000" w:sz="3" w:space="0"/>
                    <w:bottom w:val="single" w:color="000000" w:sz="3" w:space="0"/>
                    <w:right w:val="single" w:color="000000" w:sz="3" w:space="0"/>
                  </w:tcBorders>
                </w:tcPr>
                <w:p w:rsidR="006541D5" w:rsidP="00C71200" w:rsidRDefault="006541D5" w14:paraId="427548FE" w14:textId="77777777">
                  <w:pPr>
                    <w:ind w:left="21"/>
                    <w:jc w:val="center"/>
                  </w:pPr>
                  <w:r>
                    <w:rPr>
                      <w:b/>
                      <w:sz w:val="20"/>
                    </w:rPr>
                    <w:t xml:space="preserve">Quarter/Year </w:t>
                  </w:r>
                </w:p>
              </w:tc>
              <w:tc>
                <w:tcPr>
                  <w:tcW w:w="2198" w:type="dxa"/>
                  <w:tcBorders>
                    <w:top w:val="single" w:color="000000" w:sz="3" w:space="0"/>
                    <w:left w:val="single" w:color="000000" w:sz="3" w:space="0"/>
                    <w:bottom w:val="single" w:color="000000" w:sz="3" w:space="0"/>
                    <w:right w:val="single" w:color="000000" w:sz="3" w:space="0"/>
                  </w:tcBorders>
                </w:tcPr>
                <w:p w:rsidR="006541D5" w:rsidP="00C71200" w:rsidRDefault="006541D5" w14:paraId="287E1303" w14:textId="77777777">
                  <w:pPr>
                    <w:ind w:left="21"/>
                    <w:jc w:val="center"/>
                  </w:pPr>
                  <w:r>
                    <w:rPr>
                      <w:b/>
                      <w:sz w:val="20"/>
                    </w:rPr>
                    <w:t xml:space="preserve">Result (mg/L) </w:t>
                  </w:r>
                </w:p>
              </w:tc>
            </w:tr>
            <w:tr w:rsidR="006541D5" w:rsidTr="00C71200" w14:paraId="00E128BC" w14:textId="77777777">
              <w:trPr>
                <w:trHeight w:val="264"/>
              </w:trPr>
              <w:tc>
                <w:tcPr>
                  <w:tcW w:w="3254" w:type="dxa"/>
                  <w:tcBorders>
                    <w:top w:val="single" w:color="000000" w:sz="3" w:space="0"/>
                    <w:left w:val="single" w:color="000000" w:sz="3" w:space="0"/>
                    <w:bottom w:val="single" w:color="000000" w:sz="3" w:space="0"/>
                    <w:right w:val="single" w:color="000000" w:sz="3" w:space="0"/>
                  </w:tcBorders>
                </w:tcPr>
                <w:p w:rsidR="006541D5" w:rsidP="00C71200" w:rsidRDefault="006541D5" w14:paraId="74202554" w14:textId="77777777">
                  <w:r>
                    <w:rPr>
                      <w:sz w:val="20"/>
                    </w:rPr>
                    <w:t xml:space="preserve">Entry Point #1, Facility ID 22812004 </w:t>
                  </w:r>
                </w:p>
              </w:tc>
              <w:tc>
                <w:tcPr>
                  <w:tcW w:w="2307" w:type="dxa"/>
                  <w:tcBorders>
                    <w:top w:val="single" w:color="000000" w:sz="3" w:space="0"/>
                    <w:left w:val="single" w:color="000000" w:sz="3" w:space="0"/>
                    <w:bottom w:val="single" w:color="000000" w:sz="3" w:space="0"/>
                    <w:right w:val="single" w:color="000000" w:sz="3" w:space="0"/>
                  </w:tcBorders>
                </w:tcPr>
                <w:p w:rsidR="006541D5" w:rsidP="00C71200" w:rsidRDefault="006541D5" w14:paraId="1045009A" w14:textId="77777777">
                  <w:pPr>
                    <w:ind w:left="18"/>
                    <w:jc w:val="center"/>
                  </w:pPr>
                  <w:r>
                    <w:rPr>
                      <w:sz w:val="20"/>
                    </w:rPr>
                    <w:t>1</w:t>
                  </w:r>
                  <w:r>
                    <w:rPr>
                      <w:sz w:val="20"/>
                      <w:vertAlign w:val="superscript"/>
                    </w:rPr>
                    <w:t>st</w:t>
                  </w:r>
                  <w:r>
                    <w:rPr>
                      <w:sz w:val="20"/>
                    </w:rPr>
                    <w:t xml:space="preserve"> Quarter 2024 </w:t>
                  </w:r>
                </w:p>
              </w:tc>
              <w:tc>
                <w:tcPr>
                  <w:tcW w:w="2198" w:type="dxa"/>
                  <w:tcBorders>
                    <w:top w:val="single" w:color="000000" w:sz="3" w:space="0"/>
                    <w:left w:val="single" w:color="000000" w:sz="3" w:space="0"/>
                    <w:bottom w:val="single" w:color="000000" w:sz="3" w:space="0"/>
                    <w:right w:val="single" w:color="000000" w:sz="3" w:space="0"/>
                  </w:tcBorders>
                </w:tcPr>
                <w:p w:rsidR="006541D5" w:rsidP="00C71200" w:rsidRDefault="006541D5" w14:paraId="4234DBCD" w14:textId="77777777">
                  <w:pPr>
                    <w:ind w:left="21"/>
                    <w:jc w:val="center"/>
                  </w:pPr>
                  <w:r>
                    <w:rPr>
                      <w:sz w:val="20"/>
                    </w:rPr>
                    <w:t xml:space="preserve">6.1 </w:t>
                  </w:r>
                </w:p>
              </w:tc>
            </w:tr>
            <w:tr w:rsidR="006541D5" w:rsidTr="00C71200" w14:paraId="5072C6C1" w14:textId="77777777">
              <w:trPr>
                <w:trHeight w:val="264"/>
              </w:trPr>
              <w:tc>
                <w:tcPr>
                  <w:tcW w:w="3254" w:type="dxa"/>
                  <w:tcBorders>
                    <w:top w:val="single" w:color="000000" w:sz="3" w:space="0"/>
                    <w:left w:val="single" w:color="000000" w:sz="3" w:space="0"/>
                    <w:bottom w:val="single" w:color="000000" w:sz="3" w:space="0"/>
                    <w:right w:val="single" w:color="000000" w:sz="3" w:space="0"/>
                  </w:tcBorders>
                </w:tcPr>
                <w:p w:rsidR="006541D5" w:rsidP="00C71200" w:rsidRDefault="006541D5" w14:paraId="58E45EEE" w14:textId="77777777">
                  <w:r>
                    <w:rPr>
                      <w:sz w:val="20"/>
                    </w:rPr>
                    <w:t xml:space="preserve">Entry Point #1, Facility ID 22812004 </w:t>
                  </w:r>
                </w:p>
              </w:tc>
              <w:tc>
                <w:tcPr>
                  <w:tcW w:w="2307" w:type="dxa"/>
                  <w:tcBorders>
                    <w:top w:val="single" w:color="000000" w:sz="3" w:space="0"/>
                    <w:left w:val="single" w:color="000000" w:sz="3" w:space="0"/>
                    <w:bottom w:val="single" w:color="000000" w:sz="3" w:space="0"/>
                    <w:right w:val="single" w:color="000000" w:sz="3" w:space="0"/>
                  </w:tcBorders>
                </w:tcPr>
                <w:p w:rsidR="006541D5" w:rsidP="00C71200" w:rsidRDefault="006541D5" w14:paraId="4C1AB7DD" w14:textId="77777777">
                  <w:pPr>
                    <w:ind w:left="21"/>
                    <w:jc w:val="center"/>
                  </w:pPr>
                  <w:r>
                    <w:rPr>
                      <w:sz w:val="20"/>
                    </w:rPr>
                    <w:t>2</w:t>
                  </w:r>
                  <w:r>
                    <w:rPr>
                      <w:sz w:val="20"/>
                      <w:vertAlign w:val="superscript"/>
                    </w:rPr>
                    <w:t>nd</w:t>
                  </w:r>
                  <w:r>
                    <w:rPr>
                      <w:sz w:val="20"/>
                    </w:rPr>
                    <w:t xml:space="preserve"> Quarter 2024 </w:t>
                  </w:r>
                </w:p>
              </w:tc>
              <w:tc>
                <w:tcPr>
                  <w:tcW w:w="2198" w:type="dxa"/>
                  <w:tcBorders>
                    <w:top w:val="single" w:color="000000" w:sz="3" w:space="0"/>
                    <w:left w:val="single" w:color="000000" w:sz="3" w:space="0"/>
                    <w:bottom w:val="single" w:color="000000" w:sz="3" w:space="0"/>
                    <w:right w:val="single" w:color="000000" w:sz="3" w:space="0"/>
                  </w:tcBorders>
                </w:tcPr>
                <w:p w:rsidR="006541D5" w:rsidP="00C71200" w:rsidRDefault="006541D5" w14:paraId="380C71B4" w14:textId="77777777">
                  <w:pPr>
                    <w:ind w:left="21"/>
                    <w:jc w:val="center"/>
                  </w:pPr>
                  <w:r>
                    <w:rPr>
                      <w:sz w:val="20"/>
                    </w:rPr>
                    <w:t xml:space="preserve">6.6 </w:t>
                  </w:r>
                </w:p>
              </w:tc>
            </w:tr>
            <w:tr w:rsidR="006541D5" w:rsidTr="00C71200" w14:paraId="65971268" w14:textId="77777777">
              <w:trPr>
                <w:trHeight w:val="264"/>
              </w:trPr>
              <w:tc>
                <w:tcPr>
                  <w:tcW w:w="3254" w:type="dxa"/>
                  <w:tcBorders>
                    <w:top w:val="single" w:color="000000" w:sz="3" w:space="0"/>
                    <w:left w:val="single" w:color="000000" w:sz="3" w:space="0"/>
                    <w:bottom w:val="single" w:color="000000" w:sz="3" w:space="0"/>
                    <w:right w:val="single" w:color="000000" w:sz="3" w:space="0"/>
                  </w:tcBorders>
                </w:tcPr>
                <w:p w:rsidR="006541D5" w:rsidP="00C71200" w:rsidRDefault="006541D5" w14:paraId="5E3FB513" w14:textId="77777777">
                  <w:r>
                    <w:rPr>
                      <w:sz w:val="20"/>
                    </w:rPr>
                    <w:t xml:space="preserve">Entry Point #1, Facility ID 22812004 </w:t>
                  </w:r>
                </w:p>
              </w:tc>
              <w:tc>
                <w:tcPr>
                  <w:tcW w:w="2307" w:type="dxa"/>
                  <w:tcBorders>
                    <w:top w:val="single" w:color="000000" w:sz="3" w:space="0"/>
                    <w:left w:val="single" w:color="000000" w:sz="3" w:space="0"/>
                    <w:bottom w:val="single" w:color="000000" w:sz="3" w:space="0"/>
                    <w:right w:val="single" w:color="000000" w:sz="3" w:space="0"/>
                  </w:tcBorders>
                </w:tcPr>
                <w:p w:rsidR="006541D5" w:rsidP="00C71200" w:rsidRDefault="006541D5" w14:paraId="4D12875F" w14:textId="77777777">
                  <w:pPr>
                    <w:ind w:left="21"/>
                    <w:jc w:val="center"/>
                  </w:pPr>
                  <w:r>
                    <w:rPr>
                      <w:sz w:val="20"/>
                    </w:rPr>
                    <w:t>3</w:t>
                  </w:r>
                  <w:r>
                    <w:rPr>
                      <w:sz w:val="20"/>
                      <w:vertAlign w:val="superscript"/>
                    </w:rPr>
                    <w:t>rd</w:t>
                  </w:r>
                  <w:r>
                    <w:rPr>
                      <w:sz w:val="20"/>
                    </w:rPr>
                    <w:t xml:space="preserve"> Quarter 2024 </w:t>
                  </w:r>
                </w:p>
              </w:tc>
              <w:tc>
                <w:tcPr>
                  <w:tcW w:w="2198" w:type="dxa"/>
                  <w:tcBorders>
                    <w:top w:val="single" w:color="000000" w:sz="3" w:space="0"/>
                    <w:left w:val="single" w:color="000000" w:sz="3" w:space="0"/>
                    <w:bottom w:val="single" w:color="000000" w:sz="3" w:space="0"/>
                    <w:right w:val="single" w:color="000000" w:sz="3" w:space="0"/>
                  </w:tcBorders>
                </w:tcPr>
                <w:p w:rsidR="006541D5" w:rsidP="00C71200" w:rsidRDefault="006541D5" w14:paraId="5AE02FD0" w14:textId="77777777">
                  <w:pPr>
                    <w:ind w:left="21"/>
                    <w:jc w:val="center"/>
                  </w:pPr>
                  <w:r>
                    <w:rPr>
                      <w:sz w:val="20"/>
                    </w:rPr>
                    <w:t xml:space="preserve">6.6 </w:t>
                  </w:r>
                </w:p>
              </w:tc>
            </w:tr>
            <w:tr w:rsidR="006541D5" w:rsidTr="00C71200" w14:paraId="31A03E24" w14:textId="77777777">
              <w:trPr>
                <w:trHeight w:val="267"/>
              </w:trPr>
              <w:tc>
                <w:tcPr>
                  <w:tcW w:w="3254" w:type="dxa"/>
                  <w:tcBorders>
                    <w:top w:val="single" w:color="000000" w:sz="3" w:space="0"/>
                    <w:left w:val="single" w:color="000000" w:sz="3" w:space="0"/>
                    <w:bottom w:val="single" w:color="000000" w:sz="3" w:space="0"/>
                    <w:right w:val="single" w:color="000000" w:sz="3" w:space="0"/>
                  </w:tcBorders>
                </w:tcPr>
                <w:p w:rsidR="006541D5" w:rsidP="00C71200" w:rsidRDefault="006541D5" w14:paraId="6FAA036F" w14:textId="77777777">
                  <w:r>
                    <w:rPr>
                      <w:sz w:val="20"/>
                    </w:rPr>
                    <w:t xml:space="preserve">Entry Point #1, Facility ID 22812004 </w:t>
                  </w:r>
                </w:p>
              </w:tc>
              <w:tc>
                <w:tcPr>
                  <w:tcW w:w="2307" w:type="dxa"/>
                  <w:tcBorders>
                    <w:top w:val="single" w:color="000000" w:sz="3" w:space="0"/>
                    <w:left w:val="single" w:color="000000" w:sz="3" w:space="0"/>
                    <w:bottom w:val="single" w:color="000000" w:sz="3" w:space="0"/>
                    <w:right w:val="single" w:color="000000" w:sz="3" w:space="0"/>
                  </w:tcBorders>
                </w:tcPr>
                <w:p w:rsidR="006541D5" w:rsidP="00C71200" w:rsidRDefault="006541D5" w14:paraId="6852A97D" w14:textId="77777777">
                  <w:pPr>
                    <w:ind w:left="18"/>
                    <w:jc w:val="center"/>
                  </w:pPr>
                  <w:r>
                    <w:rPr>
                      <w:sz w:val="20"/>
                    </w:rPr>
                    <w:t>4</w:t>
                  </w:r>
                  <w:r>
                    <w:rPr>
                      <w:sz w:val="20"/>
                      <w:vertAlign w:val="superscript"/>
                    </w:rPr>
                    <w:t>th</w:t>
                  </w:r>
                  <w:r>
                    <w:rPr>
                      <w:sz w:val="20"/>
                    </w:rPr>
                    <w:t xml:space="preserve"> Quarter 2024 </w:t>
                  </w:r>
                </w:p>
              </w:tc>
              <w:tc>
                <w:tcPr>
                  <w:tcW w:w="2198" w:type="dxa"/>
                  <w:tcBorders>
                    <w:top w:val="single" w:color="000000" w:sz="3" w:space="0"/>
                    <w:left w:val="single" w:color="000000" w:sz="3" w:space="0"/>
                    <w:bottom w:val="single" w:color="000000" w:sz="3" w:space="0"/>
                    <w:right w:val="single" w:color="000000" w:sz="3" w:space="0"/>
                  </w:tcBorders>
                </w:tcPr>
                <w:p w:rsidR="006541D5" w:rsidP="00C71200" w:rsidRDefault="006541D5" w14:paraId="463D1D77" w14:textId="77777777">
                  <w:pPr>
                    <w:ind w:left="21"/>
                    <w:jc w:val="center"/>
                  </w:pPr>
                  <w:r>
                    <w:rPr>
                      <w:sz w:val="20"/>
                    </w:rPr>
                    <w:t xml:space="preserve">5.0 </w:t>
                  </w:r>
                </w:p>
              </w:tc>
            </w:tr>
            <w:tr w:rsidR="006541D5" w:rsidTr="00C71200" w14:paraId="1417C487" w14:textId="77777777">
              <w:trPr>
                <w:trHeight w:val="264"/>
              </w:trPr>
              <w:tc>
                <w:tcPr>
                  <w:tcW w:w="5561" w:type="dxa"/>
                  <w:gridSpan w:val="2"/>
                  <w:tcBorders>
                    <w:top w:val="single" w:color="000000" w:sz="3" w:space="0"/>
                    <w:left w:val="single" w:color="000000" w:sz="3" w:space="0"/>
                    <w:bottom w:val="single" w:color="000000" w:sz="3" w:space="0"/>
                    <w:right w:val="single" w:color="000000" w:sz="3" w:space="0"/>
                  </w:tcBorders>
                </w:tcPr>
                <w:p w:rsidR="006541D5" w:rsidP="00C71200" w:rsidRDefault="006541D5" w14:paraId="6B7CB1BC" w14:textId="77777777">
                  <w:pPr>
                    <w:ind w:left="19"/>
                    <w:jc w:val="center"/>
                  </w:pPr>
                  <w:r>
                    <w:rPr>
                      <w:sz w:val="20"/>
                    </w:rPr>
                    <w:t xml:space="preserve">Running Annual Average </w:t>
                  </w:r>
                </w:p>
              </w:tc>
              <w:tc>
                <w:tcPr>
                  <w:tcW w:w="2198" w:type="dxa"/>
                  <w:tcBorders>
                    <w:top w:val="single" w:color="000000" w:sz="3" w:space="0"/>
                    <w:left w:val="single" w:color="000000" w:sz="3" w:space="0"/>
                    <w:bottom w:val="single" w:color="000000" w:sz="3" w:space="0"/>
                    <w:right w:val="single" w:color="000000" w:sz="3" w:space="0"/>
                  </w:tcBorders>
                </w:tcPr>
                <w:p w:rsidR="006541D5" w:rsidP="00C71200" w:rsidRDefault="006541D5" w14:paraId="29BB5E27" w14:textId="77777777">
                  <w:pPr>
                    <w:ind w:left="21"/>
                    <w:jc w:val="center"/>
                  </w:pPr>
                  <w:r>
                    <w:rPr>
                      <w:sz w:val="20"/>
                    </w:rPr>
                    <w:t xml:space="preserve">6.1 </w:t>
                  </w:r>
                </w:p>
              </w:tc>
            </w:tr>
          </w:tbl>
          <w:p w:rsidRPr="006541D5" w:rsidR="006541D5" w:rsidP="00C71200" w:rsidRDefault="006541D5" w14:paraId="6EDB3805" w14:textId="77777777">
            <w:pPr>
              <w:rPr>
                <w:sz w:val="20"/>
                <w:szCs w:val="20"/>
              </w:rPr>
            </w:pPr>
            <w:r w:rsidRPr="006541D5">
              <w:rPr>
                <w:sz w:val="20"/>
                <w:szCs w:val="20"/>
              </w:rPr>
              <w:t xml:space="preserve"> </w:t>
            </w:r>
          </w:p>
          <w:p w:rsidRPr="006541D5" w:rsidR="006541D5" w:rsidP="00C71200" w:rsidRDefault="006541D5" w14:paraId="6B0114DF" w14:textId="77777777">
            <w:pPr>
              <w:rPr>
                <w:sz w:val="20"/>
                <w:szCs w:val="20"/>
              </w:rPr>
            </w:pPr>
            <w:r w:rsidRPr="006541D5">
              <w:rPr>
                <w:b/>
                <w:sz w:val="20"/>
                <w:szCs w:val="20"/>
              </w:rPr>
              <w:t>What should I do?</w:t>
            </w:r>
            <w:r w:rsidRPr="006541D5">
              <w:rPr>
                <w:sz w:val="20"/>
                <w:szCs w:val="20"/>
              </w:rPr>
              <w:t xml:space="preserve"> </w:t>
            </w:r>
          </w:p>
          <w:p w:rsidRPr="006541D5" w:rsidR="006541D5" w:rsidP="00C71200" w:rsidRDefault="006541D5" w14:paraId="238A8EFF" w14:textId="77777777">
            <w:pPr>
              <w:spacing w:after="1" w:line="239" w:lineRule="auto"/>
              <w:ind w:right="45"/>
              <w:jc w:val="both"/>
              <w:rPr>
                <w:sz w:val="20"/>
                <w:szCs w:val="20"/>
              </w:rPr>
            </w:pPr>
            <w:r w:rsidRPr="006541D5">
              <w:rPr>
                <w:b/>
                <w:sz w:val="20"/>
                <w:szCs w:val="20"/>
              </w:rPr>
              <w:t>Children under the age of nine should use an alternative source of water that is</w:t>
            </w:r>
            <w:r w:rsidRPr="006541D5">
              <w:rPr>
                <w:sz w:val="20"/>
                <w:szCs w:val="20"/>
              </w:rPr>
              <w:t xml:space="preserve"> </w:t>
            </w:r>
            <w:r w:rsidRPr="006541D5">
              <w:rPr>
                <w:b/>
                <w:sz w:val="20"/>
                <w:szCs w:val="20"/>
              </w:rPr>
              <w:t xml:space="preserve">low in fluoride. </w:t>
            </w:r>
            <w:r w:rsidRPr="006541D5">
              <w:rPr>
                <w:sz w:val="20"/>
                <w:szCs w:val="20"/>
              </w:rPr>
              <w:t xml:space="preserve">In addition, you may want to consult your dentist about whether to avoid dental products containing fluoride. Adults and children over age nine should consult their dentist or doctor and show him/her this notice to determine if an alternate source of water low in fluoride should be used. </w:t>
            </w:r>
          </w:p>
          <w:p w:rsidRPr="006541D5" w:rsidR="006541D5" w:rsidP="00C71200" w:rsidRDefault="006541D5" w14:paraId="159C9A57" w14:textId="77777777">
            <w:pPr>
              <w:rPr>
                <w:sz w:val="20"/>
                <w:szCs w:val="20"/>
              </w:rPr>
            </w:pPr>
            <w:r w:rsidRPr="006541D5">
              <w:rPr>
                <w:sz w:val="20"/>
                <w:szCs w:val="20"/>
              </w:rPr>
              <w:t xml:space="preserve"> </w:t>
            </w:r>
          </w:p>
          <w:p w:rsidRPr="006541D5" w:rsidR="006541D5" w:rsidP="00C71200" w:rsidRDefault="006541D5" w14:paraId="33D9BCF2" w14:textId="77777777">
            <w:pPr>
              <w:rPr>
                <w:sz w:val="20"/>
                <w:szCs w:val="20"/>
              </w:rPr>
            </w:pPr>
            <w:r w:rsidRPr="006541D5">
              <w:rPr>
                <w:b/>
                <w:sz w:val="20"/>
                <w:szCs w:val="20"/>
              </w:rPr>
              <w:t>What does this mean?</w:t>
            </w:r>
            <w:r w:rsidRPr="006541D5">
              <w:rPr>
                <w:sz w:val="20"/>
                <w:szCs w:val="20"/>
              </w:rPr>
              <w:t xml:space="preserve"> </w:t>
            </w:r>
          </w:p>
          <w:p w:rsidRPr="006541D5" w:rsidR="006541D5" w:rsidP="00C71200" w:rsidRDefault="006541D5" w14:paraId="43325260" w14:textId="77777777">
            <w:pPr>
              <w:spacing w:line="239" w:lineRule="auto"/>
              <w:rPr>
                <w:sz w:val="20"/>
                <w:szCs w:val="20"/>
              </w:rPr>
            </w:pPr>
            <w:r w:rsidRPr="006541D5">
              <w:rPr>
                <w:sz w:val="20"/>
                <w:szCs w:val="20"/>
              </w:rPr>
              <w:t xml:space="preserve">This is not an emergency. If it had been, you would have been notified within 24 hours. Fluoride in small amounts helps prevent tooth decay. </w:t>
            </w:r>
            <w:r w:rsidRPr="006541D5">
              <w:rPr>
                <w:b/>
                <w:sz w:val="20"/>
                <w:szCs w:val="20"/>
              </w:rPr>
              <w:t>*</w:t>
            </w:r>
            <w:r w:rsidRPr="006541D5">
              <w:rPr>
                <w:sz w:val="20"/>
                <w:szCs w:val="20"/>
              </w:rPr>
              <w:t xml:space="preserve">However, </w:t>
            </w:r>
            <w:r w:rsidRPr="006541D5">
              <w:rPr>
                <w:i/>
                <w:sz w:val="20"/>
                <w:szCs w:val="20"/>
              </w:rPr>
              <w:t xml:space="preserve">some people who drink water containing fluoride </w:t>
            </w:r>
            <w:proofErr w:type="gramStart"/>
            <w:r w:rsidRPr="006541D5">
              <w:rPr>
                <w:i/>
                <w:sz w:val="20"/>
                <w:szCs w:val="20"/>
              </w:rPr>
              <w:t>in excess of</w:t>
            </w:r>
            <w:proofErr w:type="gramEnd"/>
            <w:r w:rsidRPr="006541D5">
              <w:rPr>
                <w:i/>
                <w:sz w:val="20"/>
                <w:szCs w:val="20"/>
              </w:rPr>
              <w:t xml:space="preserve"> </w:t>
            </w:r>
            <w:proofErr w:type="gramStart"/>
            <w:r w:rsidRPr="006541D5">
              <w:rPr>
                <w:i/>
                <w:sz w:val="20"/>
                <w:szCs w:val="20"/>
              </w:rPr>
              <w:t>the MCL</w:t>
            </w:r>
            <w:proofErr w:type="gramEnd"/>
            <w:r w:rsidRPr="006541D5">
              <w:rPr>
                <w:i/>
                <w:sz w:val="20"/>
                <w:szCs w:val="20"/>
              </w:rPr>
              <w:t xml:space="preserve"> over many years could get bone disease, including pain and tenderness of the bones. Fluoride in drinking water at half the MCL or greater may cause mottling of </w:t>
            </w:r>
            <w:r w:rsidRPr="006541D5">
              <w:rPr>
                <w:b/>
                <w:i/>
                <w:sz w:val="20"/>
                <w:szCs w:val="20"/>
              </w:rPr>
              <w:t>children’s</w:t>
            </w:r>
            <w:r w:rsidRPr="006541D5">
              <w:rPr>
                <w:i/>
                <w:sz w:val="20"/>
                <w:szCs w:val="20"/>
              </w:rPr>
              <w:t xml:space="preserve"> teeth, usually in children less than nine years old. Mottling, also known as dental fluorosis, may include brown staining and/or pitting of the permanent teeth. This problem occurs only in developing teeth, before they erupt from the </w:t>
            </w:r>
            <w:proofErr w:type="gramStart"/>
            <w:r w:rsidRPr="006541D5">
              <w:rPr>
                <w:i/>
                <w:sz w:val="20"/>
                <w:szCs w:val="20"/>
              </w:rPr>
              <w:t>gums</w:t>
            </w:r>
            <w:r w:rsidRPr="006541D5">
              <w:rPr>
                <w:b/>
                <w:i/>
                <w:sz w:val="20"/>
                <w:szCs w:val="20"/>
              </w:rPr>
              <w:t>.*</w:t>
            </w:r>
            <w:proofErr w:type="gramEnd"/>
            <w:r w:rsidRPr="006541D5">
              <w:rPr>
                <w:sz w:val="20"/>
                <w:szCs w:val="20"/>
              </w:rPr>
              <w:t xml:space="preserve"> Although it takes many years of exposure to fluoride for bone disease to develop, mottling can occur after a relatively short period of exposure. </w:t>
            </w:r>
          </w:p>
          <w:p w:rsidRPr="006541D5" w:rsidR="006541D5" w:rsidP="00C71200" w:rsidRDefault="006541D5" w14:paraId="7C8F0B22" w14:textId="77777777">
            <w:pPr>
              <w:rPr>
                <w:sz w:val="20"/>
                <w:szCs w:val="20"/>
              </w:rPr>
            </w:pPr>
            <w:r w:rsidRPr="006541D5">
              <w:rPr>
                <w:sz w:val="20"/>
                <w:szCs w:val="20"/>
              </w:rPr>
              <w:t xml:space="preserve"> </w:t>
            </w:r>
          </w:p>
          <w:p w:rsidRPr="006541D5" w:rsidR="006541D5" w:rsidP="00C71200" w:rsidRDefault="006541D5" w14:paraId="16AB0486" w14:textId="77777777">
            <w:pPr>
              <w:rPr>
                <w:sz w:val="20"/>
                <w:szCs w:val="20"/>
              </w:rPr>
            </w:pPr>
            <w:r w:rsidRPr="006541D5">
              <w:rPr>
                <w:b/>
                <w:sz w:val="20"/>
                <w:szCs w:val="20"/>
              </w:rPr>
              <w:t xml:space="preserve">What happened? What is being done? </w:t>
            </w:r>
          </w:p>
          <w:p w:rsidRPr="006541D5" w:rsidR="006541D5" w:rsidP="00C71200" w:rsidRDefault="006541D5" w14:paraId="39D9552F" w14:textId="77777777">
            <w:pPr>
              <w:tabs>
                <w:tab w:val="left" w:pos="7814"/>
              </w:tabs>
              <w:rPr>
                <w:sz w:val="20"/>
                <w:szCs w:val="20"/>
              </w:rPr>
            </w:pPr>
            <w:r w:rsidRPr="006541D5">
              <w:rPr>
                <w:sz w:val="20"/>
                <w:szCs w:val="20"/>
              </w:rPr>
              <w:t xml:space="preserve"> The Lordsburg water supply system continues to fail to meet the drinking water standard for fluoride. Currently our fluoride removal system is out of service and there is no plan to bring this system back online. Instead, the city of Lordsburg is pursuing a different treatment option and has recently finished a pilot study as of December 2023.</w:t>
            </w:r>
          </w:p>
          <w:p w:rsidRPr="006541D5" w:rsidR="006541D5" w:rsidP="00C71200" w:rsidRDefault="006541D5" w14:paraId="61A5B102" w14:textId="77777777">
            <w:pPr>
              <w:tabs>
                <w:tab w:val="left" w:pos="7814"/>
              </w:tabs>
              <w:rPr>
                <w:sz w:val="20"/>
                <w:szCs w:val="20"/>
              </w:rPr>
            </w:pPr>
          </w:p>
          <w:p w:rsidRPr="006541D5" w:rsidR="006541D5" w:rsidP="00C71200" w:rsidRDefault="006541D5" w14:paraId="2C8477C3" w14:textId="600C689A">
            <w:pPr>
              <w:tabs>
                <w:tab w:val="left" w:pos="7814"/>
              </w:tabs>
              <w:rPr>
                <w:sz w:val="20"/>
                <w:szCs w:val="20"/>
              </w:rPr>
            </w:pPr>
            <w:r w:rsidRPr="5C29F7E6" w:rsidR="5C29F7E6">
              <w:rPr>
                <w:sz w:val="20"/>
                <w:szCs w:val="20"/>
              </w:rPr>
              <w:t xml:space="preserve">The city of Lordsburg is moving ahead with replacing the old ion exchange fluoride removal system with a new reverse osmosis (RO) treatment plant. Until this issue is resolved and the fluoride levels are under the drinking water </w:t>
            </w:r>
            <w:r w:rsidRPr="5C29F7E6" w:rsidR="5C29F7E6">
              <w:rPr>
                <w:sz w:val="20"/>
                <w:szCs w:val="20"/>
              </w:rPr>
              <w:t>standard</w:t>
            </w:r>
            <w:r w:rsidRPr="5C29F7E6" w:rsidR="5C29F7E6">
              <w:rPr>
                <w:sz w:val="20"/>
                <w:szCs w:val="20"/>
              </w:rPr>
              <w:t xml:space="preserve"> we will continue to provide these notices to the public along with updates as progress is made.</w:t>
            </w:r>
            <w:r>
              <w:tab/>
            </w:r>
          </w:p>
          <w:p w:rsidRPr="006541D5" w:rsidR="006541D5" w:rsidP="00C71200" w:rsidRDefault="006541D5" w14:paraId="70F34C1A" w14:textId="77777777">
            <w:pPr>
              <w:rPr>
                <w:sz w:val="20"/>
                <w:szCs w:val="20"/>
              </w:rPr>
            </w:pPr>
            <w:r w:rsidRPr="006541D5">
              <w:rPr>
                <w:sz w:val="20"/>
                <w:szCs w:val="20"/>
              </w:rPr>
              <w:t xml:space="preserve"> </w:t>
            </w:r>
          </w:p>
          <w:p w:rsidRPr="006541D5" w:rsidR="006541D5" w:rsidP="00C71200" w:rsidRDefault="006541D5" w14:paraId="40BB8099" w14:textId="77777777">
            <w:pPr>
              <w:rPr>
                <w:sz w:val="20"/>
                <w:szCs w:val="20"/>
              </w:rPr>
            </w:pPr>
            <w:r w:rsidRPr="006541D5">
              <w:rPr>
                <w:b/>
                <w:sz w:val="20"/>
                <w:szCs w:val="20"/>
              </w:rPr>
              <w:t>For more information, please contact:</w:t>
            </w:r>
            <w:r w:rsidRPr="006541D5">
              <w:rPr>
                <w:sz w:val="20"/>
                <w:szCs w:val="20"/>
              </w:rPr>
              <w:t xml:space="preserve">  </w:t>
            </w:r>
          </w:p>
          <w:p w:rsidRPr="006541D5" w:rsidR="006541D5" w:rsidP="00C71200" w:rsidRDefault="006541D5" w14:paraId="744150DC" w14:textId="77777777">
            <w:pPr>
              <w:spacing w:line="239" w:lineRule="auto"/>
              <w:jc w:val="both"/>
              <w:rPr>
                <w:sz w:val="20"/>
                <w:szCs w:val="20"/>
              </w:rPr>
            </w:pPr>
            <w:r w:rsidRPr="006541D5">
              <w:rPr>
                <w:sz w:val="20"/>
                <w:szCs w:val="20"/>
              </w:rPr>
              <w:t xml:space="preserve">Glenda Greene at 575-542-3421, Lordsburg Water Supply System, NM3522812, 409 W Wabash Ave, Lordsburg, NM 88045 </w:t>
            </w:r>
          </w:p>
          <w:p w:rsidRPr="006541D5" w:rsidR="006541D5" w:rsidP="00C71200" w:rsidRDefault="006541D5" w14:paraId="08C7FB9D" w14:textId="77777777">
            <w:pPr>
              <w:rPr>
                <w:sz w:val="20"/>
                <w:szCs w:val="20"/>
              </w:rPr>
            </w:pPr>
            <w:r w:rsidRPr="006541D5">
              <w:rPr>
                <w:sz w:val="20"/>
                <w:szCs w:val="20"/>
              </w:rPr>
              <w:t xml:space="preserve"> </w:t>
            </w:r>
          </w:p>
          <w:p w:rsidRPr="006541D5" w:rsidR="006541D5" w:rsidP="00C71200" w:rsidRDefault="006541D5" w14:paraId="7B0C7AE4" w14:textId="77777777">
            <w:pPr>
              <w:spacing w:after="15" w:line="239" w:lineRule="auto"/>
              <w:rPr>
                <w:sz w:val="20"/>
                <w:szCs w:val="20"/>
              </w:rPr>
            </w:pPr>
            <w:r w:rsidRPr="006541D5">
              <w:rPr>
                <w:i/>
                <w:sz w:val="20"/>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6541D5">
              <w:rPr>
                <w:i/>
                <w:sz w:val="20"/>
                <w:szCs w:val="20"/>
              </w:rPr>
              <w:t>mail.*</w:t>
            </w:r>
            <w:proofErr w:type="gramEnd"/>
            <w:r w:rsidRPr="006541D5">
              <w:rPr>
                <w:i/>
                <w:sz w:val="20"/>
                <w:szCs w:val="20"/>
              </w:rPr>
              <w:t xml:space="preserve"> </w:t>
            </w:r>
          </w:p>
          <w:p w:rsidR="006541D5" w:rsidP="00C71200" w:rsidRDefault="006541D5" w14:paraId="28D37A43" w14:textId="77777777">
            <w:r w:rsidRPr="006541D5">
              <w:rPr>
                <w:b/>
                <w:i/>
                <w:sz w:val="20"/>
                <w:szCs w:val="20"/>
              </w:rPr>
              <w:t xml:space="preserve"> </w:t>
            </w:r>
            <w:r w:rsidRPr="006541D5">
              <w:rPr>
                <w:b/>
                <w:i/>
                <w:sz w:val="20"/>
                <w:szCs w:val="20"/>
              </w:rPr>
              <w:tab/>
            </w:r>
            <w:r>
              <w:rPr>
                <w:b/>
                <w:i/>
              </w:rPr>
              <w:t xml:space="preserve"> </w:t>
            </w:r>
          </w:p>
        </w:tc>
      </w:tr>
    </w:tbl>
    <w:p w:rsidR="006541D5" w:rsidRDefault="006541D5" w14:paraId="4BF25A35" w14:textId="77777777"/>
    <w:sectPr w:rsidR="006541D5" w:rsidSect="006541D5">
      <w:pgSz w:w="12240" w:h="15840" w:orient="portrait"/>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D5"/>
    <w:rsid w:val="00190328"/>
    <w:rsid w:val="006541D5"/>
    <w:rsid w:val="5C29F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2574"/>
  <w15:chartTrackingRefBased/>
  <w15:docId w15:val="{E96877EE-A938-4D52-9DAD-60674780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41D5"/>
    <w:pPr>
      <w:spacing w:line="259" w:lineRule="auto"/>
    </w:pPr>
    <w:rPr>
      <w:rFonts w:ascii="Calibri" w:hAnsi="Calibri" w:eastAsia="Calibri" w:cs="Calibri"/>
      <w:color w:val="000000"/>
      <w:sz w:val="22"/>
    </w:rPr>
  </w:style>
  <w:style w:type="paragraph" w:styleId="Heading1">
    <w:name w:val="heading 1"/>
    <w:basedOn w:val="Normal"/>
    <w:next w:val="Normal"/>
    <w:link w:val="Heading1Char"/>
    <w:uiPriority w:val="9"/>
    <w:qFormat/>
    <w:rsid w:val="006541D5"/>
    <w:pPr>
      <w:keepNext/>
      <w:keepLines/>
      <w:spacing w:before="360" w:after="80" w:line="278"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1D5"/>
    <w:pPr>
      <w:keepNext/>
      <w:keepLines/>
      <w:spacing w:before="160" w:after="80" w:line="278"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1D5"/>
    <w:pPr>
      <w:keepNext/>
      <w:keepLines/>
      <w:spacing w:before="160" w:after="80" w:line="278" w:lineRule="auto"/>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1D5"/>
    <w:pPr>
      <w:keepNext/>
      <w:keepLines/>
      <w:spacing w:before="80" w:after="40" w:line="278" w:lineRule="auto"/>
      <w:outlineLvl w:val="3"/>
    </w:pPr>
    <w:rPr>
      <w:rFonts w:asciiTheme="minorHAnsi" w:hAnsiTheme="minorHAnsi" w:eastAsiaTheme="majorEastAsia"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6541D5"/>
    <w:pPr>
      <w:keepNext/>
      <w:keepLines/>
      <w:spacing w:before="80" w:after="40" w:line="278" w:lineRule="auto"/>
      <w:outlineLvl w:val="4"/>
    </w:pPr>
    <w:rPr>
      <w:rFonts w:asciiTheme="minorHAnsi" w:hAnsiTheme="minorHAnsi" w:eastAsiaTheme="majorEastAsia" w:cstheme="majorBidi"/>
      <w:color w:val="0F4761" w:themeColor="accent1" w:themeShade="BF"/>
      <w:sz w:val="24"/>
    </w:rPr>
  </w:style>
  <w:style w:type="paragraph" w:styleId="Heading6">
    <w:name w:val="heading 6"/>
    <w:basedOn w:val="Normal"/>
    <w:next w:val="Normal"/>
    <w:link w:val="Heading6Char"/>
    <w:uiPriority w:val="9"/>
    <w:semiHidden/>
    <w:unhideWhenUsed/>
    <w:qFormat/>
    <w:rsid w:val="006541D5"/>
    <w:pPr>
      <w:keepNext/>
      <w:keepLines/>
      <w:spacing w:before="40" w:after="0" w:line="278" w:lineRule="auto"/>
      <w:outlineLvl w:val="5"/>
    </w:pPr>
    <w:rPr>
      <w:rFonts w:asciiTheme="minorHAnsi" w:hAnsiTheme="minorHAnsi"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6541D5"/>
    <w:pPr>
      <w:keepNext/>
      <w:keepLines/>
      <w:spacing w:before="40" w:after="0" w:line="278" w:lineRule="auto"/>
      <w:outlineLvl w:val="6"/>
    </w:pPr>
    <w:rPr>
      <w:rFonts w:asciiTheme="minorHAnsi" w:hAnsiTheme="minorHAnsi"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6541D5"/>
    <w:pPr>
      <w:keepNext/>
      <w:keepLines/>
      <w:spacing w:after="0" w:line="278" w:lineRule="auto"/>
      <w:outlineLvl w:val="7"/>
    </w:pPr>
    <w:rPr>
      <w:rFonts w:asciiTheme="minorHAnsi" w:hAnsiTheme="minorHAnsi"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6541D5"/>
    <w:pPr>
      <w:keepNext/>
      <w:keepLines/>
      <w:spacing w:after="0" w:line="278" w:lineRule="auto"/>
      <w:outlineLvl w:val="8"/>
    </w:pPr>
    <w:rPr>
      <w:rFonts w:asciiTheme="minorHAnsi" w:hAnsiTheme="minorHAnsi" w:eastAsiaTheme="majorEastAsia" w:cstheme="majorBidi"/>
      <w:color w:val="272727" w:themeColor="text1" w:themeTint="D8"/>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41D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541D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541D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541D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541D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541D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541D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541D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541D5"/>
    <w:rPr>
      <w:rFonts w:eastAsiaTheme="majorEastAsia" w:cstheme="majorBidi"/>
      <w:color w:val="272727" w:themeColor="text1" w:themeTint="D8"/>
    </w:rPr>
  </w:style>
  <w:style w:type="paragraph" w:styleId="Title">
    <w:name w:val="Title"/>
    <w:basedOn w:val="Normal"/>
    <w:next w:val="Normal"/>
    <w:link w:val="TitleChar"/>
    <w:uiPriority w:val="10"/>
    <w:qFormat/>
    <w:rsid w:val="006541D5"/>
    <w:pPr>
      <w:spacing w:after="8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6541D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541D5"/>
    <w:pPr>
      <w:numPr>
        <w:ilvl w:val="1"/>
      </w:numPr>
      <w:spacing w:line="278" w:lineRule="auto"/>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54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1D5"/>
    <w:pPr>
      <w:spacing w:before="160" w:line="278" w:lineRule="auto"/>
      <w:jc w:val="center"/>
    </w:pPr>
    <w:rPr>
      <w:rFonts w:asciiTheme="minorHAnsi" w:hAnsiTheme="minorHAnsi" w:eastAsiaTheme="minorHAnsi" w:cstheme="minorBidi"/>
      <w:i/>
      <w:iCs/>
      <w:color w:val="404040" w:themeColor="text1" w:themeTint="BF"/>
      <w:sz w:val="24"/>
    </w:rPr>
  </w:style>
  <w:style w:type="character" w:styleId="QuoteChar" w:customStyle="1">
    <w:name w:val="Quote Char"/>
    <w:basedOn w:val="DefaultParagraphFont"/>
    <w:link w:val="Quote"/>
    <w:uiPriority w:val="29"/>
    <w:rsid w:val="006541D5"/>
    <w:rPr>
      <w:i/>
      <w:iCs/>
      <w:color w:val="404040" w:themeColor="text1" w:themeTint="BF"/>
    </w:rPr>
  </w:style>
  <w:style w:type="paragraph" w:styleId="ListParagraph">
    <w:name w:val="List Paragraph"/>
    <w:basedOn w:val="Normal"/>
    <w:uiPriority w:val="34"/>
    <w:qFormat/>
    <w:rsid w:val="006541D5"/>
    <w:pPr>
      <w:spacing w:line="278" w:lineRule="auto"/>
      <w:ind w:left="720"/>
      <w:contextualSpacing/>
    </w:pPr>
    <w:rPr>
      <w:rFonts w:asciiTheme="minorHAnsi" w:hAnsiTheme="minorHAnsi" w:eastAsiaTheme="minorHAnsi" w:cstheme="minorBidi"/>
      <w:color w:val="auto"/>
      <w:sz w:val="24"/>
    </w:rPr>
  </w:style>
  <w:style w:type="character" w:styleId="IntenseEmphasis">
    <w:name w:val="Intense Emphasis"/>
    <w:basedOn w:val="DefaultParagraphFont"/>
    <w:uiPriority w:val="21"/>
    <w:qFormat/>
    <w:rsid w:val="006541D5"/>
    <w:rPr>
      <w:i/>
      <w:iCs/>
      <w:color w:val="0F4761" w:themeColor="accent1" w:themeShade="BF"/>
    </w:rPr>
  </w:style>
  <w:style w:type="paragraph" w:styleId="IntenseQuote">
    <w:name w:val="Intense Quote"/>
    <w:basedOn w:val="Normal"/>
    <w:next w:val="Normal"/>
    <w:link w:val="IntenseQuoteChar"/>
    <w:uiPriority w:val="30"/>
    <w:qFormat/>
    <w:rsid w:val="006541D5"/>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0F4761" w:themeColor="accent1" w:themeShade="BF"/>
      <w:sz w:val="24"/>
    </w:rPr>
  </w:style>
  <w:style w:type="character" w:styleId="IntenseQuoteChar" w:customStyle="1">
    <w:name w:val="Intense Quote Char"/>
    <w:basedOn w:val="DefaultParagraphFont"/>
    <w:link w:val="IntenseQuote"/>
    <w:uiPriority w:val="30"/>
    <w:rsid w:val="006541D5"/>
    <w:rPr>
      <w:i/>
      <w:iCs/>
      <w:color w:val="0F4761" w:themeColor="accent1" w:themeShade="BF"/>
    </w:rPr>
  </w:style>
  <w:style w:type="character" w:styleId="IntenseReference">
    <w:name w:val="Intense Reference"/>
    <w:basedOn w:val="DefaultParagraphFont"/>
    <w:uiPriority w:val="32"/>
    <w:qFormat/>
    <w:rsid w:val="006541D5"/>
    <w:rPr>
      <w:b/>
      <w:bCs/>
      <w:smallCaps/>
      <w:color w:val="0F4761" w:themeColor="accent1" w:themeShade="BF"/>
      <w:spacing w:val="5"/>
    </w:rPr>
  </w:style>
  <w:style w:type="table" w:styleId="TableGrid" w:customStyle="1">
    <w:name w:val="TableGrid"/>
    <w:rsid w:val="006541D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Frank Madrid</dc:creator>
  <keywords/>
  <dc:description/>
  <lastModifiedBy>Guest User</lastModifiedBy>
  <revision>2</revision>
  <dcterms:created xsi:type="dcterms:W3CDTF">2024-12-03T17:26:00.0000000Z</dcterms:created>
  <dcterms:modified xsi:type="dcterms:W3CDTF">2024-12-03T17:51:29.1102142Z</dcterms:modified>
</coreProperties>
</file>